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pageBreakBefore w:val="1"/>
        <w:spacing w:line="360" w:lineRule="auto"/>
        <w:jc w:val="right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ru-RU"/>
        </w:rPr>
        <w:t xml:space="preserve">Приложение </w:t>
      </w:r>
      <w:r>
        <w:rPr>
          <w:rStyle w:val="None"/>
          <w:sz w:val="28"/>
          <w:szCs w:val="28"/>
          <w:rtl w:val="0"/>
          <w:lang w:val="ru-RU"/>
        </w:rPr>
        <w:t>3</w:t>
      </w:r>
    </w:p>
    <w:p>
      <w:pPr>
        <w:pStyle w:val="Обычный"/>
        <w:spacing w:line="360" w:lineRule="auto"/>
        <w:rPr>
          <w:rStyle w:val="None"/>
          <w:sz w:val="25"/>
          <w:szCs w:val="25"/>
        </w:rPr>
      </w:pPr>
      <w:r>
        <w:rPr>
          <w:rStyle w:val="None"/>
          <w:sz w:val="28"/>
          <w:szCs w:val="28"/>
          <w:rtl w:val="0"/>
          <w:lang w:val="ru-RU"/>
        </w:rPr>
        <w:t xml:space="preserve">Функции используемых в АО «МСМ № </w:t>
      </w:r>
      <w:r>
        <w:rPr>
          <w:rStyle w:val="None"/>
          <w:sz w:val="28"/>
          <w:szCs w:val="28"/>
          <w:rtl w:val="0"/>
          <w:lang w:val="ru-RU"/>
        </w:rPr>
        <w:t>4</w:t>
      </w:r>
      <w:r>
        <w:rPr>
          <w:rStyle w:val="None"/>
          <w:sz w:val="28"/>
          <w:szCs w:val="28"/>
          <w:rtl w:val="0"/>
          <w:lang w:val="ru-RU"/>
        </w:rPr>
        <w:t>» программ и «Контур Корпорация»</w:t>
      </w:r>
      <w:r>
        <w:rPr>
          <w:rStyle w:val="None"/>
          <w:sz w:val="28"/>
          <w:szCs w:val="28"/>
          <w:rtl w:val="0"/>
          <w:lang w:val="ru-RU"/>
        </w:rPr>
        <w:t>.</w:t>
      </w: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94"/>
        <w:gridCol w:w="1569"/>
        <w:gridCol w:w="1336"/>
      </w:tblGrid>
      <w:tr>
        <w:tblPrEx>
          <w:shd w:val="clear" w:color="auto" w:fill="4f81bd"/>
        </w:tblPrEx>
        <w:trPr>
          <w:trHeight w:val="412" w:hRule="atLeast"/>
          <w:tblHeader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Возможности программы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Используемые программы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Контур Корпораци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я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2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199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Целеполагание и построение модели бюджетирования и управленческого учета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1.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Делегирование ответственности и полномочий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2.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Моделирование системы бюджетов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3.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Универсальность системы бюджетирования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4.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Настройка собственных отчетов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показателей и аналитик бюджетирования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5.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Моделирование финансово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-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хозяйственной деятельности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6.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Использование нормативов и лимитов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7.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Поддержка международных стандартов финансовой отчетности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(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МСФО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).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8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Управленческие аналитики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199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Планирование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бюджетирование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9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Получение основных бюджетов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0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Получение дополнительных бюджетов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Установка целевых значений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2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Планирование различных сценариев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3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Специальные средства для упрощения планирования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4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Планирование в произвольных периодах времени и с произвольной дискретностью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5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Утверждение планов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199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Учет и контроль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16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Внутрихолдинговые операции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17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Связь с учетными системами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199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Анализ и внесение корректив в бюджеты и цели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18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Консолидация данных для холдингов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управляющих компаний и корпораций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19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Анализ плановых и фактических структуры затрат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расчет безубыточности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себестоимости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маржи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рентабельности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2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0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Факторный анализ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21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 OLAP-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отчеты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199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Технические возможности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2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2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Использование управленческого плана счетов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None"/>
                <w:sz w:val="18"/>
                <w:szCs w:val="18"/>
                <w:rtl w:val="0"/>
                <w:lang w:val="ru-RU"/>
              </w:rPr>
              <w:t>2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3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Многовалютный учет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24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Возможность предоставления отчетов за произвольный период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25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Использование произвольных форм ввода данных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26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Документооборот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27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Встроенные средства обмена данными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.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28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Разграничение доступа к данным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7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29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>Многоуровневые управленческие аналитики</w:t>
            </w:r>
            <w:r>
              <w:rPr>
                <w:rStyle w:val="None"/>
                <w:sz w:val="18"/>
                <w:szCs w:val="18"/>
                <w:rtl w:val="0"/>
                <w:lang w:val="ru-RU"/>
              </w:rPr>
              <w:t xml:space="preserve">. </w:t>
            </w:r>
          </w:p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</w:p>
        </w:tc>
        <w:tc>
          <w:tcPr>
            <w:tcW w:type="dxa" w:w="1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 </w:t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ru-RU"/>
              </w:rPr>
              <w:t>+</w:t>
            </w:r>
          </w:p>
        </w:tc>
      </w:tr>
    </w:tbl>
    <w:p>
      <w:pPr>
        <w:pStyle w:val="Обычный"/>
        <w:widowControl w:val="0"/>
        <w:ind w:left="0" w:firstLine="0"/>
      </w:pPr>
      <w:r>
        <w:rPr>
          <w:rStyle w:val="None"/>
          <w:sz w:val="25"/>
          <w:szCs w:val="25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0" w:right="567" w:bottom="850" w:left="1134" w:header="720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None">
    <w:name w:val="None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